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6BA8" w14:textId="77777777" w:rsidR="00710C9B" w:rsidRPr="005C48B0" w:rsidRDefault="005C48B0" w:rsidP="005C48B0">
      <w:pPr>
        <w:spacing w:before="65"/>
        <w:ind w:left="104"/>
        <w:rPr>
          <w:sz w:val="27"/>
        </w:rPr>
      </w:pPr>
      <w:r>
        <w:rPr>
          <w:color w:val="13161C"/>
          <w:w w:val="105"/>
          <w:sz w:val="27"/>
        </w:rPr>
        <w:t>The</w:t>
      </w:r>
      <w:r>
        <w:rPr>
          <w:color w:val="13161C"/>
          <w:spacing w:val="-18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BOQ</w:t>
      </w:r>
      <w:r>
        <w:rPr>
          <w:color w:val="13161C"/>
          <w:spacing w:val="-18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below</w:t>
      </w:r>
      <w:r>
        <w:rPr>
          <w:color w:val="13161C"/>
          <w:spacing w:val="-18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must</w:t>
      </w:r>
      <w:r>
        <w:rPr>
          <w:color w:val="13161C"/>
          <w:spacing w:val="-17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be</w:t>
      </w:r>
      <w:r>
        <w:rPr>
          <w:color w:val="13161C"/>
          <w:spacing w:val="-27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filled</w:t>
      </w:r>
      <w:r>
        <w:rPr>
          <w:color w:val="13161C"/>
          <w:spacing w:val="-17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as</w:t>
      </w:r>
      <w:r>
        <w:rPr>
          <w:color w:val="13161C"/>
          <w:spacing w:val="-18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accurately</w:t>
      </w:r>
      <w:r>
        <w:rPr>
          <w:color w:val="13161C"/>
          <w:spacing w:val="-18"/>
          <w:w w:val="105"/>
          <w:sz w:val="27"/>
        </w:rPr>
        <w:t xml:space="preserve"> </w:t>
      </w:r>
      <w:r>
        <w:rPr>
          <w:color w:val="13161C"/>
          <w:w w:val="105"/>
          <w:sz w:val="27"/>
        </w:rPr>
        <w:t>as</w:t>
      </w:r>
      <w:r>
        <w:rPr>
          <w:color w:val="13161C"/>
          <w:spacing w:val="-17"/>
          <w:w w:val="105"/>
          <w:sz w:val="27"/>
        </w:rPr>
        <w:t xml:space="preserve"> </w:t>
      </w:r>
      <w:r>
        <w:rPr>
          <w:color w:val="13161C"/>
          <w:spacing w:val="-2"/>
          <w:w w:val="105"/>
          <w:sz w:val="27"/>
        </w:rPr>
        <w:t>possible.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720"/>
        <w:gridCol w:w="3870"/>
        <w:gridCol w:w="1890"/>
        <w:gridCol w:w="1530"/>
        <w:gridCol w:w="1170"/>
        <w:gridCol w:w="1090"/>
      </w:tblGrid>
      <w:tr w:rsidR="00657D74" w:rsidRPr="00657D74" w14:paraId="465D5127" w14:textId="77777777" w:rsidTr="00657D74">
        <w:trPr>
          <w:trHeight w:val="275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9CAD8D5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Item</w:t>
            </w:r>
          </w:p>
          <w:p w14:paraId="25ED4430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NO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1A5DB2FE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17A86DAD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unit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384508D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unit Cost in SDG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6130EBB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Qty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54291025" w14:textId="77777777" w:rsidR="005C48B0" w:rsidRPr="00657D74" w:rsidRDefault="005C48B0" w:rsidP="00657D74">
            <w:pPr>
              <w:jc w:val="center"/>
              <w:rPr>
                <w:b/>
                <w:bCs/>
              </w:rPr>
            </w:pPr>
            <w:r w:rsidRPr="00657D74">
              <w:rPr>
                <w:b/>
                <w:bCs/>
              </w:rPr>
              <w:t>Total in SDG</w:t>
            </w:r>
          </w:p>
        </w:tc>
      </w:tr>
      <w:tr w:rsidR="00B67C98" w:rsidRPr="00B67C98" w14:paraId="21CE0BB5" w14:textId="77777777" w:rsidTr="00657D74">
        <w:trPr>
          <w:trHeight w:val="275"/>
        </w:trPr>
        <w:tc>
          <w:tcPr>
            <w:tcW w:w="720" w:type="dxa"/>
            <w:vAlign w:val="center"/>
          </w:tcPr>
          <w:p w14:paraId="04FF2CB9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4C6369BB" w14:textId="673CB8E2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 xml:space="preserve">Supply &amp; installation European electrical submersible pumps 0.75 kw three phase, head (31-73) Q 5 m3/h with </w:t>
            </w:r>
            <w:r w:rsidR="002D101C" w:rsidRPr="00B67C98">
              <w:rPr>
                <w:color w:val="13161C"/>
                <w:w w:val="105"/>
              </w:rPr>
              <w:t>inverter</w:t>
            </w:r>
            <w:r w:rsidRPr="00B67C98">
              <w:rPr>
                <w:color w:val="13161C"/>
                <w:w w:val="105"/>
              </w:rPr>
              <w:t xml:space="preserve"> and dry running indicator (sensor)</w:t>
            </w:r>
          </w:p>
        </w:tc>
        <w:tc>
          <w:tcPr>
            <w:tcW w:w="1890" w:type="dxa"/>
            <w:vAlign w:val="center"/>
          </w:tcPr>
          <w:p w14:paraId="1CDC1170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Job</w:t>
            </w:r>
          </w:p>
        </w:tc>
        <w:tc>
          <w:tcPr>
            <w:tcW w:w="1530" w:type="dxa"/>
            <w:vAlign w:val="center"/>
          </w:tcPr>
          <w:p w14:paraId="4195BBBF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285061DC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1</w:t>
            </w:r>
          </w:p>
        </w:tc>
        <w:tc>
          <w:tcPr>
            <w:tcW w:w="1090" w:type="dxa"/>
            <w:vAlign w:val="center"/>
          </w:tcPr>
          <w:p w14:paraId="2EC6F5BC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508B5332" w14:textId="77777777" w:rsidTr="00657D74">
        <w:trPr>
          <w:trHeight w:val="266"/>
        </w:trPr>
        <w:tc>
          <w:tcPr>
            <w:tcW w:w="720" w:type="dxa"/>
            <w:vAlign w:val="center"/>
          </w:tcPr>
          <w:p w14:paraId="78A3F37F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44C139AF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Supply &amp; installation European electrical submersible pumps 2,2 kw three phase head (31-90) Q 5 m3/h with solar system and dry running indicator (sensor).</w:t>
            </w:r>
          </w:p>
        </w:tc>
        <w:tc>
          <w:tcPr>
            <w:tcW w:w="1890" w:type="dxa"/>
            <w:vAlign w:val="center"/>
          </w:tcPr>
          <w:p w14:paraId="43CED3CD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Job</w:t>
            </w:r>
          </w:p>
        </w:tc>
        <w:tc>
          <w:tcPr>
            <w:tcW w:w="1530" w:type="dxa"/>
            <w:vAlign w:val="center"/>
          </w:tcPr>
          <w:p w14:paraId="70A04885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500B097B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1</w:t>
            </w:r>
          </w:p>
        </w:tc>
        <w:tc>
          <w:tcPr>
            <w:tcW w:w="1090" w:type="dxa"/>
            <w:vAlign w:val="center"/>
          </w:tcPr>
          <w:p w14:paraId="52779491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0F5A531D" w14:textId="77777777" w:rsidTr="00657D74">
        <w:trPr>
          <w:trHeight w:val="275"/>
        </w:trPr>
        <w:tc>
          <w:tcPr>
            <w:tcW w:w="720" w:type="dxa"/>
            <w:vAlign w:val="center"/>
          </w:tcPr>
          <w:p w14:paraId="0C037AD0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7C8B2246" w14:textId="7D6D4B5C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 xml:space="preserve">Supply materials and install a drinking water point for humans using 2-inch galvanized pipes and 10 brass faucets (Mak type, 1 inch), with a 300x480 cm white concrete base, 15 cm thick. Build a platform with dimensions of 200x100 cm, 60 cm high, with a drainage system around the </w:t>
            </w:r>
            <w:r w:rsidR="00753A97" w:rsidRPr="00B67C98">
              <w:rPr>
                <w:color w:val="13161C"/>
                <w:w w:val="105"/>
              </w:rPr>
              <w:t>platform.</w:t>
            </w:r>
          </w:p>
        </w:tc>
        <w:tc>
          <w:tcPr>
            <w:tcW w:w="1890" w:type="dxa"/>
            <w:vAlign w:val="center"/>
          </w:tcPr>
          <w:p w14:paraId="00AED7C9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Job</w:t>
            </w:r>
          </w:p>
        </w:tc>
        <w:tc>
          <w:tcPr>
            <w:tcW w:w="1530" w:type="dxa"/>
            <w:vAlign w:val="center"/>
          </w:tcPr>
          <w:p w14:paraId="4E98F357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5CBC28B9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1</w:t>
            </w:r>
          </w:p>
        </w:tc>
        <w:tc>
          <w:tcPr>
            <w:tcW w:w="1090" w:type="dxa"/>
            <w:vAlign w:val="center"/>
          </w:tcPr>
          <w:p w14:paraId="39731786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105EB67A" w14:textId="77777777" w:rsidTr="00657D74">
        <w:trPr>
          <w:trHeight w:val="266"/>
        </w:trPr>
        <w:tc>
          <w:tcPr>
            <w:tcW w:w="720" w:type="dxa"/>
            <w:vAlign w:val="center"/>
          </w:tcPr>
          <w:p w14:paraId="17333470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226F694E" w14:textId="23479D8E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 xml:space="preserve">Clean the interior of the elevated water tank thoroughly to remove all sediment, debris and scale deposits, ensure all </w:t>
            </w:r>
            <w:r w:rsidR="00753A97" w:rsidRPr="00B67C98">
              <w:rPr>
                <w:color w:val="13161C"/>
                <w:w w:val="105"/>
              </w:rPr>
              <w:t>surfaces</w:t>
            </w:r>
            <w:r w:rsidRPr="00B67C98">
              <w:rPr>
                <w:color w:val="13161C"/>
                <w:w w:val="105"/>
              </w:rPr>
              <w:t xml:space="preserve"> are free of contaminants and suitable for subsequent repairs and </w:t>
            </w:r>
            <w:r w:rsidR="00753A97" w:rsidRPr="00B67C98">
              <w:rPr>
                <w:color w:val="13161C"/>
                <w:w w:val="105"/>
              </w:rPr>
              <w:t>coating.</w:t>
            </w:r>
          </w:p>
        </w:tc>
        <w:tc>
          <w:tcPr>
            <w:tcW w:w="1890" w:type="dxa"/>
            <w:vAlign w:val="center"/>
          </w:tcPr>
          <w:p w14:paraId="2727AD27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Job</w:t>
            </w:r>
          </w:p>
        </w:tc>
        <w:tc>
          <w:tcPr>
            <w:tcW w:w="1530" w:type="dxa"/>
            <w:vAlign w:val="center"/>
          </w:tcPr>
          <w:p w14:paraId="382A8683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52772528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1</w:t>
            </w:r>
          </w:p>
        </w:tc>
        <w:tc>
          <w:tcPr>
            <w:tcW w:w="1090" w:type="dxa"/>
            <w:vAlign w:val="center"/>
          </w:tcPr>
          <w:p w14:paraId="3FD95A01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0F30584B" w14:textId="77777777" w:rsidTr="00657D74">
        <w:trPr>
          <w:trHeight w:val="266"/>
        </w:trPr>
        <w:tc>
          <w:tcPr>
            <w:tcW w:w="720" w:type="dxa"/>
            <w:vAlign w:val="center"/>
          </w:tcPr>
          <w:p w14:paraId="1C8B1F32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20386F79" w14:textId="04281ACB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 xml:space="preserve">Perform necessary welding work inside the tank to repair any damages ,lakes or structural weaknesses and ensure welds are smooth and free sharp edges that may </w:t>
            </w:r>
            <w:r w:rsidR="00753A97" w:rsidRPr="00B67C98">
              <w:rPr>
                <w:color w:val="13161C"/>
                <w:w w:val="105"/>
              </w:rPr>
              <w:t>affect</w:t>
            </w:r>
            <w:r w:rsidRPr="00B67C98">
              <w:rPr>
                <w:color w:val="13161C"/>
                <w:w w:val="105"/>
              </w:rPr>
              <w:t xml:space="preserve"> the tanks coating or usability, apply internal coating protective any</w:t>
            </w:r>
            <w:r w:rsidR="00B67C98" w:rsidRPr="00B67C98">
              <w:rPr>
                <w:color w:val="13161C"/>
                <w:w w:val="105"/>
              </w:rPr>
              <w:t xml:space="preserve"> </w:t>
            </w:r>
            <w:r w:rsidRPr="00B67C98">
              <w:rPr>
                <w:color w:val="13161C"/>
                <w:w w:val="105"/>
              </w:rPr>
              <w:t xml:space="preserve">corrosion paint suitable for potable water tank, the coating must comply with international health and safety standards for water storage, clean and prepare the external surfaces of the tank, apply a durable weather resistant paint (black &amp; white )to protect the tank from external environmental factors ,Completion </w:t>
            </w:r>
            <w:r w:rsidRPr="00B67C98">
              <w:rPr>
                <w:color w:val="13161C"/>
                <w:w w:val="105"/>
              </w:rPr>
              <w:lastRenderedPageBreak/>
              <w:t>and testing to ensure all works are completed to satisfaction of the supervision engineer.</w:t>
            </w:r>
          </w:p>
        </w:tc>
        <w:tc>
          <w:tcPr>
            <w:tcW w:w="1890" w:type="dxa"/>
            <w:vAlign w:val="center"/>
          </w:tcPr>
          <w:p w14:paraId="3019322D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lastRenderedPageBreak/>
              <w:t>Job</w:t>
            </w:r>
          </w:p>
        </w:tc>
        <w:tc>
          <w:tcPr>
            <w:tcW w:w="1530" w:type="dxa"/>
            <w:vAlign w:val="center"/>
          </w:tcPr>
          <w:p w14:paraId="51A6AB2F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020204D1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1</w:t>
            </w:r>
          </w:p>
        </w:tc>
        <w:tc>
          <w:tcPr>
            <w:tcW w:w="1090" w:type="dxa"/>
            <w:vAlign w:val="center"/>
          </w:tcPr>
          <w:p w14:paraId="227F7821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582B330E" w14:textId="77777777" w:rsidTr="00657D74">
        <w:trPr>
          <w:trHeight w:val="275"/>
        </w:trPr>
        <w:tc>
          <w:tcPr>
            <w:tcW w:w="720" w:type="dxa"/>
            <w:vAlign w:val="center"/>
          </w:tcPr>
          <w:p w14:paraId="4CB7F89B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48C93776" w14:textId="62C57A68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 xml:space="preserve">Remove and replace three (3) galvanized steel </w:t>
            </w:r>
            <w:r w:rsidR="002D101C" w:rsidRPr="00B67C98">
              <w:rPr>
                <w:color w:val="13161C"/>
                <w:w w:val="105"/>
              </w:rPr>
              <w:t>pipes with</w:t>
            </w:r>
            <w:r w:rsidRPr="00B67C98">
              <w:rPr>
                <w:color w:val="13161C"/>
                <w:w w:val="105"/>
              </w:rPr>
              <w:t xml:space="preserve"> </w:t>
            </w:r>
            <w:r w:rsidR="002D101C" w:rsidRPr="00B67C98">
              <w:rPr>
                <w:color w:val="13161C"/>
                <w:w w:val="105"/>
              </w:rPr>
              <w:t>a 2-inch</w:t>
            </w:r>
            <w:r w:rsidRPr="00B67C98">
              <w:rPr>
                <w:color w:val="13161C"/>
                <w:w w:val="105"/>
              </w:rPr>
              <w:t xml:space="preserve"> </w:t>
            </w:r>
            <w:proofErr w:type="spellStart"/>
            <w:r w:rsidRPr="00B67C98">
              <w:rPr>
                <w:color w:val="13161C"/>
                <w:w w:val="105"/>
              </w:rPr>
              <w:t>dia</w:t>
            </w:r>
            <w:proofErr w:type="spellEnd"/>
            <w:r w:rsidRPr="00B67C98">
              <w:rPr>
                <w:color w:val="13161C"/>
                <w:w w:val="105"/>
              </w:rPr>
              <w:t xml:space="preserve"> 2.8 mm thick ensure proper connections and </w:t>
            </w:r>
            <w:r w:rsidR="00753A97" w:rsidRPr="00B67C98">
              <w:rPr>
                <w:color w:val="13161C"/>
                <w:w w:val="105"/>
              </w:rPr>
              <w:t>fit</w:t>
            </w:r>
            <w:r w:rsidRPr="00B67C98">
              <w:rPr>
                <w:color w:val="13161C"/>
                <w:w w:val="105"/>
              </w:rPr>
              <w:t xml:space="preserve"> in accordance with relevant standards &amp;</w:t>
            </w:r>
            <w:r w:rsidR="00753A97" w:rsidRPr="00B67C98">
              <w:rPr>
                <w:color w:val="13161C"/>
                <w:w w:val="105"/>
              </w:rPr>
              <w:t>specification.</w:t>
            </w:r>
          </w:p>
        </w:tc>
        <w:tc>
          <w:tcPr>
            <w:tcW w:w="1890" w:type="dxa"/>
            <w:vAlign w:val="center"/>
          </w:tcPr>
          <w:p w14:paraId="6A618BF2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Job</w:t>
            </w:r>
          </w:p>
        </w:tc>
        <w:tc>
          <w:tcPr>
            <w:tcW w:w="1530" w:type="dxa"/>
            <w:vAlign w:val="center"/>
          </w:tcPr>
          <w:p w14:paraId="3B42BA33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09EE16F7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1</w:t>
            </w:r>
          </w:p>
        </w:tc>
        <w:tc>
          <w:tcPr>
            <w:tcW w:w="1090" w:type="dxa"/>
            <w:vAlign w:val="center"/>
          </w:tcPr>
          <w:p w14:paraId="0DF3AC71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1D2C6C6A" w14:textId="77777777" w:rsidTr="00657D74">
        <w:trPr>
          <w:trHeight w:val="275"/>
        </w:trPr>
        <w:tc>
          <w:tcPr>
            <w:tcW w:w="720" w:type="dxa"/>
            <w:vAlign w:val="center"/>
          </w:tcPr>
          <w:p w14:paraId="0C528F48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3870" w:type="dxa"/>
            <w:vAlign w:val="center"/>
          </w:tcPr>
          <w:p w14:paraId="564F85E9" w14:textId="251D2FFB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 xml:space="preserve">Supply, installation and test of water transmission </w:t>
            </w:r>
            <w:r w:rsidR="00753A97" w:rsidRPr="00B67C98">
              <w:rPr>
                <w:color w:val="13161C"/>
                <w:w w:val="105"/>
              </w:rPr>
              <w:t>pipelined</w:t>
            </w:r>
            <w:r w:rsidRPr="00B67C98">
              <w:rPr>
                <w:color w:val="13161C"/>
                <w:w w:val="105"/>
              </w:rPr>
              <w:t xml:space="preserve"> 10 bar, </w:t>
            </w:r>
            <w:r w:rsidR="002D101C" w:rsidRPr="00B67C98">
              <w:rPr>
                <w:color w:val="13161C"/>
                <w:w w:val="105"/>
              </w:rPr>
              <w:t>2-inch</w:t>
            </w:r>
            <w:r w:rsidRPr="00B67C98">
              <w:rPr>
                <w:color w:val="13161C"/>
                <w:w w:val="105"/>
              </w:rPr>
              <w:t xml:space="preserve"> Dia, length 750 </w:t>
            </w:r>
            <w:r w:rsidR="002D101C" w:rsidRPr="00B67C98">
              <w:rPr>
                <w:color w:val="13161C"/>
                <w:w w:val="105"/>
              </w:rPr>
              <w:t>m, depth</w:t>
            </w:r>
            <w:r w:rsidRPr="00B67C98">
              <w:rPr>
                <w:color w:val="13161C"/>
                <w:w w:val="105"/>
              </w:rPr>
              <w:t xml:space="preserve"> </w:t>
            </w:r>
            <w:proofErr w:type="spellStart"/>
            <w:r w:rsidRPr="00B67C98">
              <w:rPr>
                <w:color w:val="13161C"/>
                <w:w w:val="105"/>
              </w:rPr>
              <w:t>lm</w:t>
            </w:r>
            <w:proofErr w:type="spellEnd"/>
            <w:r w:rsidRPr="00B67C98">
              <w:rPr>
                <w:color w:val="13161C"/>
                <w:w w:val="105"/>
              </w:rPr>
              <w:t>, width 0.5 m</w:t>
            </w:r>
          </w:p>
        </w:tc>
        <w:tc>
          <w:tcPr>
            <w:tcW w:w="1890" w:type="dxa"/>
            <w:vAlign w:val="center"/>
          </w:tcPr>
          <w:p w14:paraId="43D123CC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ML</w:t>
            </w:r>
          </w:p>
        </w:tc>
        <w:tc>
          <w:tcPr>
            <w:tcW w:w="1530" w:type="dxa"/>
            <w:vAlign w:val="center"/>
          </w:tcPr>
          <w:p w14:paraId="49570F04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  <w:tc>
          <w:tcPr>
            <w:tcW w:w="1170" w:type="dxa"/>
            <w:vAlign w:val="center"/>
          </w:tcPr>
          <w:p w14:paraId="2BE7F85A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  <w:r w:rsidRPr="00B67C98">
              <w:rPr>
                <w:color w:val="13161C"/>
                <w:w w:val="105"/>
              </w:rPr>
              <w:t>750</w:t>
            </w:r>
          </w:p>
        </w:tc>
        <w:tc>
          <w:tcPr>
            <w:tcW w:w="1090" w:type="dxa"/>
            <w:vAlign w:val="center"/>
          </w:tcPr>
          <w:p w14:paraId="7D2F5DBF" w14:textId="77777777" w:rsidR="005C48B0" w:rsidRPr="00B67C98" w:rsidRDefault="005C48B0" w:rsidP="00B67C98">
            <w:pPr>
              <w:spacing w:before="65" w:line="276" w:lineRule="auto"/>
              <w:ind w:left="104"/>
              <w:rPr>
                <w:color w:val="13161C"/>
                <w:w w:val="105"/>
              </w:rPr>
            </w:pPr>
          </w:p>
        </w:tc>
      </w:tr>
      <w:tr w:rsidR="00B67C98" w:rsidRPr="00B67C98" w14:paraId="5AF09E62" w14:textId="77777777" w:rsidTr="00657D74">
        <w:trPr>
          <w:trHeight w:val="117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4C47D415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14:paraId="7A9FFE98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  <w:r w:rsidRPr="00B67C98">
              <w:rPr>
                <w:rFonts w:asciiTheme="majorBidi" w:hAnsiTheme="majorBidi" w:cstheme="majorBidi"/>
                <w:b/>
                <w:bCs/>
                <w:color w:val="13161C"/>
                <w:w w:val="105"/>
              </w:rPr>
              <w:t>Sub total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66F70CAB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2EADFB47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638D8FA2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090" w:type="dxa"/>
            <w:shd w:val="clear" w:color="auto" w:fill="A6A6A6" w:themeFill="background1" w:themeFillShade="A6"/>
            <w:vAlign w:val="center"/>
          </w:tcPr>
          <w:p w14:paraId="48CC2693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</w:tr>
      <w:tr w:rsidR="00657D74" w:rsidRPr="00B67C98" w14:paraId="2D4803FF" w14:textId="77777777" w:rsidTr="00657D74">
        <w:trPr>
          <w:trHeight w:val="117"/>
        </w:trPr>
        <w:tc>
          <w:tcPr>
            <w:tcW w:w="720" w:type="dxa"/>
            <w:shd w:val="clear" w:color="auto" w:fill="FFFFFF" w:themeFill="background1"/>
            <w:vAlign w:val="center"/>
          </w:tcPr>
          <w:p w14:paraId="5BF8EC4B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78DD927" w14:textId="77777777" w:rsidR="00B67C98" w:rsidRPr="00B67C98" w:rsidRDefault="00B67C98" w:rsidP="00B67C98">
            <w:pPr>
              <w:spacing w:before="65"/>
              <w:ind w:left="104"/>
              <w:rPr>
                <w:rFonts w:asciiTheme="majorBidi" w:hAnsiTheme="majorBidi" w:cstheme="majorBidi"/>
                <w:b/>
                <w:bCs/>
                <w:color w:val="13161C"/>
                <w:w w:val="105"/>
              </w:rPr>
            </w:pPr>
            <w:r w:rsidRPr="00B67C98">
              <w:rPr>
                <w:rFonts w:asciiTheme="majorBidi" w:hAnsiTheme="majorBidi" w:cstheme="majorBidi"/>
                <w:b/>
                <w:bCs/>
                <w:color w:val="13161C"/>
                <w:w w:val="105"/>
              </w:rPr>
              <w:t>Vat 17%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7D09A31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8B8085E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725CB54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FF60C70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</w:tr>
      <w:tr w:rsidR="00B67C98" w:rsidRPr="00B67C98" w14:paraId="125C06DF" w14:textId="77777777" w:rsidTr="00657D74">
        <w:trPr>
          <w:trHeight w:val="117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3ECE2946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14:paraId="061241E4" w14:textId="77777777" w:rsidR="00B67C98" w:rsidRPr="00B67C98" w:rsidRDefault="00B67C98" w:rsidP="00B67C98">
            <w:pPr>
              <w:spacing w:before="65"/>
              <w:ind w:left="104"/>
              <w:rPr>
                <w:rFonts w:asciiTheme="majorBidi" w:hAnsiTheme="majorBidi" w:cstheme="majorBidi"/>
                <w:b/>
                <w:bCs/>
                <w:color w:val="13161C"/>
                <w:w w:val="105"/>
              </w:rPr>
            </w:pPr>
            <w:r w:rsidRPr="00B67C98">
              <w:rPr>
                <w:rFonts w:asciiTheme="majorBidi" w:hAnsiTheme="majorBidi" w:cstheme="majorBidi"/>
                <w:b/>
                <w:bCs/>
                <w:color w:val="13161C"/>
                <w:w w:val="105"/>
              </w:rPr>
              <w:t>Grand total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05768B0B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2FC0D5DA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13D8D029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  <w:tc>
          <w:tcPr>
            <w:tcW w:w="1090" w:type="dxa"/>
            <w:shd w:val="clear" w:color="auto" w:fill="A6A6A6" w:themeFill="background1" w:themeFillShade="A6"/>
            <w:vAlign w:val="center"/>
          </w:tcPr>
          <w:p w14:paraId="7FB65EB3" w14:textId="77777777" w:rsidR="00B67C98" w:rsidRPr="00B67C98" w:rsidRDefault="00B67C98" w:rsidP="00B67C98">
            <w:pPr>
              <w:spacing w:before="65"/>
              <w:ind w:left="104"/>
              <w:rPr>
                <w:b/>
                <w:bCs/>
                <w:color w:val="13161C"/>
                <w:w w:val="105"/>
              </w:rPr>
            </w:pPr>
          </w:p>
        </w:tc>
      </w:tr>
    </w:tbl>
    <w:p w14:paraId="6F8046A4" w14:textId="77777777" w:rsidR="00BC2679" w:rsidRDefault="005C48B0" w:rsidP="005C48B0">
      <w:pPr>
        <w:tabs>
          <w:tab w:val="left" w:pos="2747"/>
        </w:tabs>
      </w:pPr>
      <w:r>
        <w:tab/>
      </w:r>
    </w:p>
    <w:p w14:paraId="2722F32C" w14:textId="77777777" w:rsidR="005C48B0" w:rsidRDefault="005C48B0" w:rsidP="005C48B0">
      <w:pPr>
        <w:pStyle w:val="BodyText"/>
        <w:spacing w:before="70"/>
        <w:rPr>
          <w:sz w:val="28"/>
        </w:rPr>
      </w:pPr>
    </w:p>
    <w:p w14:paraId="0DAB0F50" w14:textId="3C6E1019" w:rsidR="005C48B0" w:rsidRPr="001B584E" w:rsidRDefault="005C48B0" w:rsidP="001B584E">
      <w:pPr>
        <w:tabs>
          <w:tab w:val="left" w:pos="836"/>
        </w:tabs>
        <w:ind w:hanging="159"/>
        <w:rPr>
          <w:b/>
          <w:color w:val="11131A"/>
          <w:sz w:val="21"/>
        </w:rPr>
      </w:pPr>
    </w:p>
    <w:p w14:paraId="76772FD3" w14:textId="77777777" w:rsidR="005C48B0" w:rsidRDefault="005C48B0" w:rsidP="005C48B0">
      <w:pPr>
        <w:tabs>
          <w:tab w:val="left" w:pos="2747"/>
        </w:tabs>
      </w:pPr>
    </w:p>
    <w:sectPr w:rsidR="005C48B0" w:rsidSect="00657D74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32A9F"/>
    <w:multiLevelType w:val="hybridMultilevel"/>
    <w:tmpl w:val="83969FB4"/>
    <w:lvl w:ilvl="0" w:tplc="5A5E5E36">
      <w:start w:val="1"/>
      <w:numFmt w:val="lowerLetter"/>
      <w:lvlText w:val="(%1)"/>
      <w:lvlJc w:val="left"/>
      <w:pPr>
        <w:ind w:left="573" w:hanging="415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C01441AA">
      <w:numFmt w:val="bullet"/>
      <w:lvlText w:val="•"/>
      <w:lvlJc w:val="left"/>
      <w:pPr>
        <w:ind w:left="1498" w:hanging="415"/>
      </w:pPr>
      <w:rPr>
        <w:rFonts w:hint="default"/>
        <w:lang w:val="en-US" w:eastAsia="en-US" w:bidi="ar-SA"/>
      </w:rPr>
    </w:lvl>
    <w:lvl w:ilvl="2" w:tplc="A4909D4A">
      <w:numFmt w:val="bullet"/>
      <w:lvlText w:val="•"/>
      <w:lvlJc w:val="left"/>
      <w:pPr>
        <w:ind w:left="2416" w:hanging="415"/>
      </w:pPr>
      <w:rPr>
        <w:rFonts w:hint="default"/>
        <w:lang w:val="en-US" w:eastAsia="en-US" w:bidi="ar-SA"/>
      </w:rPr>
    </w:lvl>
    <w:lvl w:ilvl="3" w:tplc="A6883180">
      <w:numFmt w:val="bullet"/>
      <w:lvlText w:val="•"/>
      <w:lvlJc w:val="left"/>
      <w:pPr>
        <w:ind w:left="3334" w:hanging="415"/>
      </w:pPr>
      <w:rPr>
        <w:rFonts w:hint="default"/>
        <w:lang w:val="en-US" w:eastAsia="en-US" w:bidi="ar-SA"/>
      </w:rPr>
    </w:lvl>
    <w:lvl w:ilvl="4" w:tplc="593CBFBC">
      <w:numFmt w:val="bullet"/>
      <w:lvlText w:val="•"/>
      <w:lvlJc w:val="left"/>
      <w:pPr>
        <w:ind w:left="4252" w:hanging="415"/>
      </w:pPr>
      <w:rPr>
        <w:rFonts w:hint="default"/>
        <w:lang w:val="en-US" w:eastAsia="en-US" w:bidi="ar-SA"/>
      </w:rPr>
    </w:lvl>
    <w:lvl w:ilvl="5" w:tplc="013EDE0A">
      <w:numFmt w:val="bullet"/>
      <w:lvlText w:val="•"/>
      <w:lvlJc w:val="left"/>
      <w:pPr>
        <w:ind w:left="5170" w:hanging="415"/>
      </w:pPr>
      <w:rPr>
        <w:rFonts w:hint="default"/>
        <w:lang w:val="en-US" w:eastAsia="en-US" w:bidi="ar-SA"/>
      </w:rPr>
    </w:lvl>
    <w:lvl w:ilvl="6" w:tplc="D6CE4EF2">
      <w:numFmt w:val="bullet"/>
      <w:lvlText w:val="•"/>
      <w:lvlJc w:val="left"/>
      <w:pPr>
        <w:ind w:left="6088" w:hanging="415"/>
      </w:pPr>
      <w:rPr>
        <w:rFonts w:hint="default"/>
        <w:lang w:val="en-US" w:eastAsia="en-US" w:bidi="ar-SA"/>
      </w:rPr>
    </w:lvl>
    <w:lvl w:ilvl="7" w:tplc="2766DDD6">
      <w:numFmt w:val="bullet"/>
      <w:lvlText w:val="•"/>
      <w:lvlJc w:val="left"/>
      <w:pPr>
        <w:ind w:left="7006" w:hanging="415"/>
      </w:pPr>
      <w:rPr>
        <w:rFonts w:hint="default"/>
        <w:lang w:val="en-US" w:eastAsia="en-US" w:bidi="ar-SA"/>
      </w:rPr>
    </w:lvl>
    <w:lvl w:ilvl="8" w:tplc="FF82CA6A">
      <w:numFmt w:val="bullet"/>
      <w:lvlText w:val="•"/>
      <w:lvlJc w:val="left"/>
      <w:pPr>
        <w:ind w:left="7924" w:hanging="415"/>
      </w:pPr>
      <w:rPr>
        <w:rFonts w:hint="default"/>
        <w:lang w:val="en-US" w:eastAsia="en-US" w:bidi="ar-SA"/>
      </w:rPr>
    </w:lvl>
  </w:abstractNum>
  <w:abstractNum w:abstractNumId="1" w15:restartNumberingAfterBreak="0">
    <w:nsid w:val="6C9900B5"/>
    <w:multiLevelType w:val="multilevel"/>
    <w:tmpl w:val="842E6EA6"/>
    <w:lvl w:ilvl="0">
      <w:start w:val="2"/>
      <w:numFmt w:val="decimal"/>
      <w:lvlText w:val="%1"/>
      <w:lvlJc w:val="left"/>
      <w:pPr>
        <w:ind w:left="837" w:hanging="6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37" w:hanging="6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37" w:hanging="681"/>
        <w:jc w:val="left"/>
      </w:pPr>
      <w:rPr>
        <w:rFonts w:hint="default"/>
        <w:spacing w:val="0"/>
        <w:w w:val="122"/>
        <w:lang w:val="en-US" w:eastAsia="en-US" w:bidi="ar-SA"/>
      </w:rPr>
    </w:lvl>
    <w:lvl w:ilvl="3">
      <w:numFmt w:val="bullet"/>
      <w:lvlText w:val="•"/>
      <w:lvlJc w:val="left"/>
      <w:pPr>
        <w:ind w:left="3516" w:hanging="6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6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6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6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6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6" w:hanging="681"/>
      </w:pPr>
      <w:rPr>
        <w:rFonts w:hint="default"/>
        <w:lang w:val="en-US" w:eastAsia="en-US" w:bidi="ar-SA"/>
      </w:rPr>
    </w:lvl>
  </w:abstractNum>
  <w:num w:numId="1" w16cid:durableId="1438789414">
    <w:abstractNumId w:val="0"/>
  </w:num>
  <w:num w:numId="2" w16cid:durableId="18006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679"/>
    <w:rsid w:val="001B584E"/>
    <w:rsid w:val="002D101C"/>
    <w:rsid w:val="0046203A"/>
    <w:rsid w:val="005C48B0"/>
    <w:rsid w:val="00657D74"/>
    <w:rsid w:val="00710C9B"/>
    <w:rsid w:val="00753A97"/>
    <w:rsid w:val="00B67C98"/>
    <w:rsid w:val="00B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DE4B"/>
  <w15:docId w15:val="{963ACD6E-D8BD-46C8-9BE5-511631B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C4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8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C48B0"/>
    <w:pPr>
      <w:widowControl w:val="0"/>
      <w:autoSpaceDE w:val="0"/>
      <w:autoSpaceDN w:val="0"/>
      <w:spacing w:after="0" w:line="240" w:lineRule="auto"/>
      <w:ind w:left="159" w:hanging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Abdulsalam Mohamed</cp:lastModifiedBy>
  <cp:revision>4</cp:revision>
  <dcterms:created xsi:type="dcterms:W3CDTF">2024-12-18T12:20:00Z</dcterms:created>
  <dcterms:modified xsi:type="dcterms:W3CDTF">2024-12-18T13:08:00Z</dcterms:modified>
</cp:coreProperties>
</file>